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Default Extension="wmf" ContentType="image/x-wmf"/>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76"/>
        <w:ind w:right="0" w:left="0" w:firstLine="567"/>
        <w:jc w:val="both"/>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Лекция 5. ОСНОВЫ ТИПОЛОГИИ ЛЕСА</w:t>
      </w:r>
    </w:p>
    <w:p>
      <w:pPr>
        <w:spacing w:before="0" w:after="0" w:line="276"/>
        <w:ind w:right="0" w:left="0" w:firstLine="567"/>
        <w:jc w:val="both"/>
        <w:rPr>
          <w:rFonts w:ascii="Arial" w:hAnsi="Arial" w:cs="Arial" w:eastAsia="Arial"/>
          <w:b/>
          <w:color w:val="auto"/>
          <w:spacing w:val="0"/>
          <w:position w:val="0"/>
          <w:sz w:val="22"/>
          <w:shd w:fill="auto" w:val="clear"/>
        </w:rPr>
      </w:pPr>
    </w:p>
    <w:p>
      <w:pPr>
        <w:spacing w:before="0" w:after="0" w:line="276"/>
        <w:ind w:right="0" w:left="0" w:firstLine="567"/>
        <w:jc w:val="both"/>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План</w:t>
      </w:r>
    </w:p>
    <w:p>
      <w:pPr>
        <w:spacing w:before="0" w:after="0" w:line="276"/>
        <w:ind w:right="0" w:left="0" w:firstLine="567"/>
        <w:jc w:val="both"/>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1 </w:t>
      </w:r>
      <w:r>
        <w:rPr>
          <w:rFonts w:ascii="Arial" w:hAnsi="Arial" w:cs="Arial" w:eastAsia="Arial"/>
          <w:b/>
          <w:color w:val="auto"/>
          <w:spacing w:val="0"/>
          <w:position w:val="0"/>
          <w:sz w:val="22"/>
          <w:shd w:fill="auto" w:val="clear"/>
        </w:rPr>
        <w:t xml:space="preserve">Истоки лесной типологии</w:t>
      </w:r>
    </w:p>
    <w:p>
      <w:pPr>
        <w:spacing w:before="0" w:after="0" w:line="276"/>
        <w:ind w:right="0" w:left="0" w:firstLine="567"/>
        <w:jc w:val="both"/>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2 </w:t>
      </w:r>
      <w:r>
        <w:rPr>
          <w:rFonts w:ascii="Arial" w:hAnsi="Arial" w:cs="Arial" w:eastAsia="Arial"/>
          <w:b/>
          <w:color w:val="auto"/>
          <w:spacing w:val="0"/>
          <w:position w:val="0"/>
          <w:sz w:val="22"/>
          <w:shd w:fill="auto" w:val="clear"/>
        </w:rPr>
        <w:t xml:space="preserve">Учение о типах леса Г.Ф. Морозова</w:t>
      </w:r>
    </w:p>
    <w:p>
      <w:pPr>
        <w:spacing w:before="0" w:after="0" w:line="276"/>
        <w:ind w:right="0" w:left="0" w:firstLine="567"/>
        <w:jc w:val="both"/>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Классификация условий произрастания П.С. Погребняка</w:t>
      </w:r>
    </w:p>
    <w:p>
      <w:pPr>
        <w:spacing w:before="0" w:after="0" w:line="276"/>
        <w:ind w:right="0" w:left="0" w:firstLine="567"/>
        <w:jc w:val="both"/>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Классификация типов леса В.Н. Сукачева</w:t>
      </w:r>
    </w:p>
    <w:p>
      <w:pPr>
        <w:spacing w:before="0" w:after="0" w:line="276"/>
        <w:ind w:right="0" w:left="0" w:firstLine="567"/>
        <w:jc w:val="both"/>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Типология степных лесов А.Л. Бельгарда</w:t>
      </w: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1. </w:t>
      </w:r>
      <w:r>
        <w:rPr>
          <w:rFonts w:ascii="Arial" w:hAnsi="Arial" w:cs="Arial" w:eastAsia="Arial"/>
          <w:b/>
          <w:color w:val="auto"/>
          <w:spacing w:val="0"/>
          <w:position w:val="0"/>
          <w:sz w:val="22"/>
          <w:shd w:fill="auto" w:val="clear"/>
        </w:rPr>
        <w:t xml:space="preserve">Истоки лесной типологии</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Идея лесной типологии зародилась в народе. А.Е. Теплоухов писал, что крестьяне называли мелкослойную, смолистую, крепкую осину брусняжной, так как почва, поросшая брусникой, указывает на древесину хороших качеств. Такие народные названия, как рамень, согра, бор, лог, раза и др. отражают единство древостоя с условиями его произрастания и выявляют типологические различия лесов.</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В 18 веке лесовод А.А. Нартов впервые отметил связь роста древостоя с условиями произрастания, которые он подразделил на сухие, сырые земли и внебровочные участки с клюквой и мхом.</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В конце 19 века из-за возросшего объема сплошных рубок обострилась проблема лесовозобновления. В.Я. Добровлянский высказал мысль о необходимости учения лесовозобновления по предварительно выделенным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типам насаждений</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разнообразие которых определяется, по его мнению, внешними условиями (климатом и почвенно-грунтовыми условиями), внутренними условиями, создающимися самим насаждением (составом, густотой древостоя и т.д.) и влиянием человека.</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А. Ф. Рудзкий предложил насаждения разделять на небольшое число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условных однообразий</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или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первообразов</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принимая во внимание высоту над уровнем моря, экспедицию склона, почву, хозяйственную значимость древесной породы, густоту и возраст древостоя. Он дал пример 7 таких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первообразов</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европейской тайги в т. числе: 1).сосна кондовая или боровая на свежей и глубокой почве; 2) . Сосна мяндовая на сырой почве; 3). Сосна болотная на мшарине; 4).Хвойный лиственный лес: пестрая смесь с неопределенным господством сосны, ели, березы, осины и др.</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И. И. Гуторович при лесоустройстве Вологодской губернии описал 9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типов насаждений</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приняв во внимание 4 фактора: топографическое положение участка, почву, состав насаждения и напочвенный покров. Некоторые из них близки к современным типам леса: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рада</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сосняк сфагновый,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суболоть</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сосняк багульниковый,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согра</w:t>
      </w:r>
      <w:r>
        <w:rPr>
          <w:rFonts w:ascii="Arial" w:hAnsi="Arial" w:cs="Arial" w:eastAsia="Arial"/>
          <w:color w:val="auto"/>
          <w:spacing w:val="0"/>
          <w:position w:val="0"/>
          <w:sz w:val="22"/>
          <w:shd w:fill="auto" w:val="clear"/>
        </w:rPr>
        <w:t xml:space="preserve">» - </w:t>
      </w:r>
      <w:r>
        <w:rPr>
          <w:rFonts w:ascii="Arial" w:hAnsi="Arial" w:cs="Arial" w:eastAsia="Arial"/>
          <w:color w:val="auto"/>
          <w:spacing w:val="0"/>
          <w:position w:val="0"/>
          <w:sz w:val="22"/>
          <w:shd w:fill="auto" w:val="clear"/>
        </w:rPr>
        <w:t xml:space="preserve">сосняк (ельник) осоково- сфагновый,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биль</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близок к сосняку (ельнику) черничному,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бор</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близок к сосняку брусничному,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ровнядь</w:t>
      </w:r>
      <w:r>
        <w:rPr>
          <w:rFonts w:ascii="Arial" w:hAnsi="Arial" w:cs="Arial" w:eastAsia="Arial"/>
          <w:color w:val="auto"/>
          <w:spacing w:val="0"/>
          <w:position w:val="0"/>
          <w:sz w:val="22"/>
          <w:shd w:fill="auto" w:val="clear"/>
        </w:rPr>
        <w:t xml:space="preserve">» - </w:t>
      </w:r>
      <w:r>
        <w:rPr>
          <w:rFonts w:ascii="Arial" w:hAnsi="Arial" w:cs="Arial" w:eastAsia="Arial"/>
          <w:color w:val="auto"/>
          <w:spacing w:val="0"/>
          <w:position w:val="0"/>
          <w:sz w:val="22"/>
          <w:shd w:fill="auto" w:val="clear"/>
        </w:rPr>
        <w:t xml:space="preserve">ельник долгомошный,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холм</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ельник кисличный,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лог</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ельник - лог.</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В конце 19 века проявляли интерес к типологии лесов и ботаники. С. И. Коржинский считал, что в результате длительной борьбы за существование в каждом участке с присущими ему климатическими и топографическими условиями сформировалась определенная совокупность видов растений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ассоциация. Ассоциации объединялись в более устойчивые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общежития</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растительной формации. Поэтому Коржинский рассматривал типы насаждений, как типы растительных формаций. Им была вскрыта роль растений - эдификаторов, которые определяли внутреннюю среду сообщества и его развитие.                </w:t>
      </w:r>
    </w:p>
    <w:p>
      <w:pPr>
        <w:spacing w:before="0" w:after="0" w:line="276"/>
        <w:ind w:right="0" w:left="0" w:firstLine="567"/>
        <w:jc w:val="both"/>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2. </w:t>
      </w:r>
      <w:r>
        <w:rPr>
          <w:rFonts w:ascii="Arial" w:hAnsi="Arial" w:cs="Arial" w:eastAsia="Arial"/>
          <w:b/>
          <w:color w:val="auto"/>
          <w:spacing w:val="0"/>
          <w:position w:val="0"/>
          <w:sz w:val="22"/>
          <w:shd w:fill="auto" w:val="clear"/>
        </w:rPr>
        <w:t xml:space="preserve">Учение о типах насаждений Г.Ф. Морозова</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Необходимость деления лесов на однородные единицы (типы) насаждений впервые научно обосновал Г. Ф. Морозов. При установлении типов на раннем этапе он принимал во внимание условия произрастания, а в дальнейшем целую совокупность признаков:</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1). </w:t>
      </w:r>
      <w:r>
        <w:rPr>
          <w:rFonts w:ascii="Arial" w:hAnsi="Arial" w:cs="Arial" w:eastAsia="Arial"/>
          <w:color w:val="auto"/>
          <w:spacing w:val="0"/>
          <w:position w:val="0"/>
          <w:sz w:val="22"/>
          <w:shd w:fill="auto" w:val="clear"/>
        </w:rPr>
        <w:t xml:space="preserve">внутренние, экологические свойства древесных пород;</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2). </w:t>
      </w:r>
      <w:r>
        <w:rPr>
          <w:rFonts w:ascii="Arial" w:hAnsi="Arial" w:cs="Arial" w:eastAsia="Arial"/>
          <w:color w:val="auto"/>
          <w:spacing w:val="0"/>
          <w:position w:val="0"/>
          <w:sz w:val="22"/>
          <w:shd w:fill="auto" w:val="clear"/>
        </w:rPr>
        <w:t xml:space="preserve">географическую среду - климат, грунт, рельеф, почву;</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3). </w:t>
      </w:r>
      <w:r>
        <w:rPr>
          <w:rFonts w:ascii="Arial" w:hAnsi="Arial" w:cs="Arial" w:eastAsia="Arial"/>
          <w:color w:val="auto"/>
          <w:spacing w:val="0"/>
          <w:position w:val="0"/>
          <w:sz w:val="22"/>
          <w:shd w:fill="auto" w:val="clear"/>
        </w:rPr>
        <w:t xml:space="preserve">биосоциальные отношения:</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а) между растениями, образующими лесное сообщество;</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б). их же со средой;</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в). их же с фауной;</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4).</w:t>
      </w:r>
      <w:r>
        <w:rPr>
          <w:rFonts w:ascii="Arial" w:hAnsi="Arial" w:cs="Arial" w:eastAsia="Arial"/>
          <w:color w:val="auto"/>
          <w:spacing w:val="0"/>
          <w:position w:val="0"/>
          <w:sz w:val="22"/>
          <w:shd w:fill="auto" w:val="clear"/>
        </w:rPr>
        <w:t xml:space="preserve">историко-географические причины;</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5). </w:t>
      </w:r>
      <w:r>
        <w:rPr>
          <w:rFonts w:ascii="Arial" w:hAnsi="Arial" w:cs="Arial" w:eastAsia="Arial"/>
          <w:color w:val="auto"/>
          <w:spacing w:val="0"/>
          <w:position w:val="0"/>
          <w:sz w:val="22"/>
          <w:shd w:fill="auto" w:val="clear"/>
        </w:rPr>
        <w:t xml:space="preserve">вмешательство человека.</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В 1904 году Г. Ф. Морозов писал: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Тип насаждения есть совокупность насаждений, объединенных в одну обширную группу общностью условий местопроизрастания, или почвенно-грунтовых условий. Он не создал законченной классификации типов насаждений, но для отдельных лесных массивов России привел примеры лесоводственно-типологического описания боров и дубрав. Идея типов леса Г. Ф. Морозова послужила основой для развития двух типологических направлений.</w:t>
      </w:r>
    </w:p>
    <w:p>
      <w:pPr>
        <w:spacing w:before="0" w:after="0" w:line="276"/>
        <w:ind w:right="0" w:left="0" w:firstLine="567"/>
        <w:jc w:val="both"/>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3.  </w:t>
      </w:r>
      <w:r>
        <w:rPr>
          <w:rFonts w:ascii="Arial" w:hAnsi="Arial" w:cs="Arial" w:eastAsia="Arial"/>
          <w:b/>
          <w:color w:val="auto"/>
          <w:spacing w:val="0"/>
          <w:position w:val="0"/>
          <w:sz w:val="22"/>
          <w:shd w:fill="auto" w:val="clear"/>
        </w:rPr>
        <w:t xml:space="preserve">Классификация условий произрастания П.С. Погребняка</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Опираясь на более ранние работы Г. Ф. Морозова, А. А. Крюденер разработал условия местопроизрастания с учетом рельефа, влажности и механического состава. Дальнейшее развитие это направление получило в 20</w:t>
      </w:r>
      <w:r>
        <w:rPr>
          <w:rFonts w:ascii="Arial" w:hAnsi="Arial" w:cs="Arial" w:eastAsia="Arial"/>
          <w:color w:val="auto"/>
          <w:spacing w:val="0"/>
          <w:position w:val="0"/>
          <w:sz w:val="22"/>
          <w:shd w:fill="auto" w:val="clear"/>
          <w:vertAlign w:val="superscript"/>
        </w:rPr>
        <w:t xml:space="preserve">х</w:t>
      </w:r>
      <w:r>
        <w:rPr>
          <w:rFonts w:ascii="Arial" w:hAnsi="Arial" w:cs="Arial" w:eastAsia="Arial"/>
          <w:color w:val="auto"/>
          <w:spacing w:val="0"/>
          <w:position w:val="0"/>
          <w:sz w:val="22"/>
          <w:shd w:fill="auto" w:val="clear"/>
        </w:rPr>
        <w:t xml:space="preserve"> годах текущего столетия в трудах Е. В. Алексеева, П. С. Погребняка, Д. В. Воробьева. Тип лесорастительных условий для покрытых и не покрытых лесом площадей они определяли с учетом плодородия и влажности почвы. Все разнообразие выделенных типов леса П. С. Погребняк разместил в эдафической сетке (рисунок 5).</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П.С. Погребняк объединил типы леса на суходолах и в мокрых местообитаниях в один трофогенный ряд. Совместно с Д. В. Воробьевым они выделили 5 трофотопов ( А - боры, В - субори, С- сугрудки , Д - груды, Е-дубравы), затем осталось 4. В настоящее время термин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дубрава</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используют синонимы: рамени (в ареале ели); бучины (в ареале бука), а для термина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сложные субори</w:t>
      </w:r>
      <w:r>
        <w:rPr>
          <w:rFonts w:ascii="Arial" w:hAnsi="Arial" w:cs="Arial" w:eastAsia="Arial"/>
          <w:color w:val="auto"/>
          <w:spacing w:val="0"/>
          <w:position w:val="0"/>
          <w:sz w:val="22"/>
          <w:shd w:fill="auto" w:val="clear"/>
        </w:rPr>
        <w:t xml:space="preserve">» - </w:t>
      </w:r>
      <w:r>
        <w:rPr>
          <w:rFonts w:ascii="Arial" w:hAnsi="Arial" w:cs="Arial" w:eastAsia="Arial"/>
          <w:color w:val="auto"/>
          <w:spacing w:val="0"/>
          <w:position w:val="0"/>
          <w:sz w:val="22"/>
          <w:shd w:fill="auto" w:val="clear"/>
        </w:rPr>
        <w:t xml:space="preserve">сугрудки, сурамени, судубравы, субучины.</w:t>
      </w: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7</w:t>
      </w:r>
    </w:p>
    <w:p>
      <w:pPr>
        <w:spacing w:before="0" w:after="0" w:line="276"/>
        <w:ind w:right="0" w:left="0" w:firstLine="567"/>
        <w:jc w:val="both"/>
        <w:rPr>
          <w:rFonts w:ascii="Arial" w:hAnsi="Arial" w:cs="Arial" w:eastAsia="Arial"/>
          <w:color w:val="auto"/>
          <w:spacing w:val="0"/>
          <w:position w:val="0"/>
          <w:sz w:val="22"/>
          <w:shd w:fill="auto" w:val="clear"/>
        </w:rPr>
      </w:pPr>
      <w:r>
        <w:object w:dxaOrig="10359" w:dyaOrig="13384">
          <v:rect xmlns:o="urn:schemas-microsoft-com:office:office" xmlns:v="urn:schemas-microsoft-com:vml" id="rectole0000000000" style="width:517.950000pt;height:669.2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Рисунок 5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Эдафическая сетка лесов по П.С. Погребняку</w:t>
      </w: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Называя почвы по гранулометрическому составу корненасыщенного верхнего горизонта, П. С. Погребняк установил, что песчаные почвы могут быть самого различного плодородия от боров (А) до дубрав (Д).</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К борам относятся однородные пески, без каких либо прослоек, до гл. 2,5-3 м. При наличии редко чередующихся тонких (0,5-1 см) супесчано-глинистых прослоек глубокие пески относятся к простым суборям (В). Сложные субори (С) под песками имеют на глубине не &lt; 0,5 м богатую почвообразующую породу. При дальнейшем уменьшении мощности песчаного наноса (0,5м и меньше), когда подстилающий суглинок интенсивно осваивается древесными корнями, почва по плодородию переходит в разряд дубравных (Д).</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Но и в одном трофотопе почвы могут быть не вполне однородные по гранулометрическому составу, но однородные по богатству.</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Боры (А)- крайне бедные почвенно-грунтовые условия; простые субори (В)-относительно бедные; сложные субори (С)- относительно богатые; дубравы (Д)- наиболее плодородные почвы. Гидротопов П. С. Погребняк выделил 6.</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Для большинства лесорастительных подзон самыми благоприятными являются свежие условия местопроизрастания.</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Сочетания одного трофотопа с одним гигротопом дает эдатоп.</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С учетом подразделений в эдафическую сетку включают все разнообразия лесов.</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Применение лесотипологической классификации П. С. Погребняка в лесохозяйственной практике нашей страны способствовало улучшению ведения лесного хозяйства, изучению природы лесов, более рациональному использованию лесных земель и повышению продуктивности насаждений.</w:t>
      </w:r>
    </w:p>
    <w:p>
      <w:pPr>
        <w:spacing w:before="0" w:after="0" w:line="276"/>
        <w:ind w:right="0" w:left="0" w:firstLine="567"/>
        <w:jc w:val="both"/>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4.  </w:t>
      </w:r>
      <w:r>
        <w:rPr>
          <w:rFonts w:ascii="Arial" w:hAnsi="Arial" w:cs="Arial" w:eastAsia="Arial"/>
          <w:b/>
          <w:color w:val="auto"/>
          <w:spacing w:val="0"/>
          <w:position w:val="0"/>
          <w:sz w:val="22"/>
          <w:shd w:fill="auto" w:val="clear"/>
        </w:rPr>
        <w:t xml:space="preserve">Классификация типов леса В.Н. Сукачева</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Второе лесотипологическое направление длительное время возглавлял В. Н. Сукачев. В основу классификации типов леса он положил растительные ассоциации, в дальнейшем все компоненты леса и взаимосвязь их между собой и лесорастительными условиями. Тип леса он определял по совокупности признаков, называл по растениям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индификаторам, господствующей древесной породе, преобладающему виду напочвенного покрова и устанавливал только для покрытых лесом площадей.</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Под типом леса В.Н. Сукачев понимал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участки леса, однородные по составу древесных пород, по другим ярусам растительности и фауне, по комплексу лесорастительных условий (климатических, почвенных, гидрологических), по взаимоотношениям между растениями и средой, по восстановительным процессам и направлению смен в них а, следовательно, при одинаковых экономических условиях требующие однородных лесохозяйственных мероприятий</w:t>
      </w:r>
      <w:r>
        <w:rPr>
          <w:rFonts w:ascii="Arial" w:hAnsi="Arial" w:cs="Arial" w:eastAsia="Arial"/>
          <w:color w:val="auto"/>
          <w:spacing w:val="0"/>
          <w:position w:val="0"/>
          <w:sz w:val="22"/>
          <w:shd w:fill="auto" w:val="clear"/>
        </w:rPr>
        <w:t xml:space="preserve">».</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Все разнообразие выделенных типов леса В.Н. Сукачев расположил в системе эколого-фитоценотических рядов:</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Ряд А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уменьшение плодородия и влажности почвы;</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В</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увеличение застойного увлажнения; </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С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увеличение богатства почвы;</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Д - увеличение проточного увлажнения;</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Е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переходный от застойного увлажнения к проточному.</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Он предложил систему эколого-фитоценотических рядов для сосняков, ельников, и обобщенную схему эдафо-фитоценотических ареалов (таблица).</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Различия и сходство типологических классификаций В. Н. Сукачева и П. С. Погребняка.</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Различия между двумя основными лесотипологическими направлениями заключаются главным образом в разном объеме понятия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тип леса</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Даже таксон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тип древостоя</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отражает особенности географической среды и древостоя, тогда как тип леса по В. Н. Сукачеву, выделяется и по особенностям древесных компонентов леса, и по взаимоотношениям между ними. Ряды типов лесных биогеоценозов у В. Н. Сукачева не ограничены, а число типов зависит от разнообразия действия факторов лесообразования. Число типов леса у Погребняка определяется хозяйственной необходимостью.</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В лесохозяйственной практике при проведении отдельных мероприятий необходимо иметь сведения о разнообразии почвенно-грунтовых условий. Поэтому наряду с технологией Сукачева используется классификация Погребняка, т.е. во время наземной таксации леса при лесоустроительных работах в каждом таксационном выделе указывается наиболее распространенный тип лесного биогеоценоза и тип лесорастительных условий.</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Типология В. Н. Сукачева разрабатывалась на основе изучения равнинных таежных девственных лесов нашей страны. Основным объектом являлся лес со всеми его компонентами.</w:t>
      </w:r>
    </w:p>
    <w:p>
      <w:pPr>
        <w:spacing w:before="0" w:after="0" w:line="276"/>
        <w:ind w:right="0" w:left="0" w:firstLine="567"/>
        <w:jc w:val="both"/>
        <w:rPr>
          <w:rFonts w:ascii="Arial" w:hAnsi="Arial" w:cs="Arial" w:eastAsia="Arial"/>
          <w:color w:val="auto"/>
          <w:spacing w:val="0"/>
          <w:position w:val="0"/>
          <w:sz w:val="22"/>
          <w:shd w:fill="auto" w:val="clear"/>
        </w:rPr>
      </w:pPr>
      <w:r>
        <w:object w:dxaOrig="8827" w:dyaOrig="4466">
          <v:rect xmlns:o="urn:schemas-microsoft-com:office:office" xmlns:v="urn:schemas-microsoft-com:vml" id="rectole0000000001" style="width:441.350000pt;height:223.3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Рисунок 6 - Схема эколого-фитоценотических рядов сосновых лесов. Сосняки: 1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кисличник; 2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брусничник; 3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лишайниковый; 4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черничник; 5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долгомошник; 6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сфагновый; 7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сфагновое болото; 8 -травяной; 9 - липовый; 10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лещинный; 11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дубовый.</w:t>
      </w: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r>
        <w:object w:dxaOrig="8334" w:dyaOrig="4734">
          <v:rect xmlns:o="urn:schemas-microsoft-com:office:office" xmlns:v="urn:schemas-microsoft-com:vml" id="rectole0000000002" style="width:416.700000pt;height:236.70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Рисунок 7 Схема эколого-фитоценотических рядов еловых лесов.</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Ельники: 1 - кисличник; 2 - брусничник; -3 - черничник; 4 - долгомошник; 5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сфагновый; 6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осоко-сфагновый; 7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торфяно-сфагновый; 8 - лог; 9 - липовый. 10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лубовый.</w:t>
      </w:r>
    </w:p>
    <w:p>
      <w:pPr>
        <w:spacing w:before="0" w:after="0" w:line="276"/>
        <w:ind w:right="0" w:left="0" w:firstLine="567"/>
        <w:jc w:val="both"/>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5.  </w:t>
      </w:r>
      <w:r>
        <w:rPr>
          <w:rFonts w:ascii="Arial" w:hAnsi="Arial" w:cs="Arial" w:eastAsia="Arial"/>
          <w:b/>
          <w:color w:val="auto"/>
          <w:spacing w:val="0"/>
          <w:position w:val="0"/>
          <w:sz w:val="22"/>
          <w:shd w:fill="auto" w:val="clear"/>
        </w:rPr>
        <w:t xml:space="preserve">Типология степных лесов А.Л. Бельгарда</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Типология А.Л. Бельгарда была разработана в 1971 году для степных естественных и искусственных лесов.</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Группу естественных лесов представляют пойменные, байрачные и аренные леса. Взяв за основу эдафическую сетку П.С. Погребняка, он заменил ординату трофности на ординату минерализованности и выделил следующие трофотопы:</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АВ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физически бедные почвы, чаще всего глинистые пески;</w:t>
      </w: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В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относительно физически бедные почвенно-грунтовые условия, обычно связанные с легкими супесями или глинистыми песками;</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ВС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относительно физически бедноватые почвенно-грунтовые условия;</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С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относительно богатые трофотопы, связанные с супесчаными почвами;</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Д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наиболее богатые местообитания, тяготеющие к плодородным суглинкам или супесям, подстилаемым прослойками глин или суглинков;</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Дс- встречается на более выщелоченных почвах;</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Дас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характеризует наиболее благоприятные лесорастительные условия, способствующие формированию сложных лесных ценозов;</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Дп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тяготеет к почвам, отличающимся известной карбонатностью и в более влажных гигротипах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развитием нитрификационных процессов;</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Де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формируется в пределах продолжительнопоемных местообитаний</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отличается некоторой солонцеватостью;</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типы леса, формирующиеся на физиологически относительно бедных почвах, которые характеризуются в поймах признаками засоления, а в условиях овражно-балочных систем  - карбонатностью.</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Кроме того, выделены еще трофотопы F и G, связанные с кустарниковыми ценозами.</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По характеру увлажнения выделено девять гигротопов:</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0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очень сухие местообитания;</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0-1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сухие;</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1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суховатые;</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1-2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свежеватые;</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2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свежие;</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2-3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влажноватые;</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3- </w:t>
      </w:r>
      <w:r>
        <w:rPr>
          <w:rFonts w:ascii="Arial" w:hAnsi="Arial" w:cs="Arial" w:eastAsia="Arial"/>
          <w:color w:val="auto"/>
          <w:spacing w:val="0"/>
          <w:position w:val="0"/>
          <w:sz w:val="22"/>
          <w:shd w:fill="auto" w:val="clear"/>
        </w:rPr>
        <w:t xml:space="preserve">влажные;</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4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сырые;</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5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мокрые.</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Пойменные леса подразделяются на 2 группы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продолжительнопоемные и краткопоемные, применительно к которым выделены типы леса.</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Типология искусственных лесов степной зоны строится А.Л. Бельгардом с учетом типов местоположения (поемные, аренные и плакорные).</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В пределах типа местоположения, почвы по гранулометрическому составу делятся на: пески (П), супеси (СП) и суглинки (СГ). Засоленные почвы имеют свой индекс (З). Учитывается тип (подтип) почвы (обыкновенные черноземы, южные черноземы, темно-каштановые почвы).</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Гигротопы выделяются по тем же признакам, что и для естественных лесов (0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очень сухие; 0-1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сухие; 1 - суховатые;1-2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свежеватые; 2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свежие; 3- влажные; 4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сырые; 5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мокрые.</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Типология А.Л. Бельгарда сложна, громоздка, отличается большой дробностью, но она позволяет достаточно полно оценивать лесорастительные условия и определять как ассортимент пород для выращивания, так и тип лесного насаждения, в наибольшей степени соответствующий этим условиям.</w:t>
      </w:r>
    </w:p>
    <w:p>
      <w:pPr>
        <w:spacing w:before="0" w:after="0" w:line="276"/>
        <w:ind w:right="0" w:left="0" w:firstLine="567"/>
        <w:jc w:val="both"/>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6.  </w:t>
      </w:r>
      <w:r>
        <w:rPr>
          <w:rFonts w:ascii="Arial" w:hAnsi="Arial" w:cs="Arial" w:eastAsia="Arial"/>
          <w:b/>
          <w:color w:val="auto"/>
          <w:spacing w:val="0"/>
          <w:position w:val="0"/>
          <w:sz w:val="22"/>
          <w:shd w:fill="auto" w:val="clear"/>
        </w:rPr>
        <w:t xml:space="preserve">Особенности лесной типологии за рубежом</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Ученые различных стран с интересом относятся к достижениям отечественной лесной типологии. Лесоводы Польши, Болгарии, Швеции используют классификационные принципы, сходные с эдафической сеткой П.С. Погребняка.</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Австрийское лесотипологическое направление Е. Айхингера, сложившееся в 50-60-е годы предлагает историческое подразделение типов леса: 1) ельники, сменившие криволесье из горной сосны, 2) ельники, сменившие леса из европейского кедра, 3) ельники, сменившие леса из лиственницы и т. д.</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В зарубежной литературе местообитание рассматривается как экосистема. Каждая единица местообитания характеризуется особенностями топографии, почвы, микроклимата, состава растительности всех ярусов. Величина одного местообитания определяется темпами роста древостоя.</w:t>
      </w:r>
    </w:p>
    <w:p>
      <w:pPr>
        <w:spacing w:before="0" w:after="0" w:line="276"/>
        <w:ind w:right="0" w:left="0" w:firstLine="567"/>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Классификация местообитаний применяется в исследованиях по лесной селекции, почвоведению и защите леса.</w:t>
      </w: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b/>
          <w:color w:val="auto"/>
          <w:spacing w:val="0"/>
          <w:position w:val="0"/>
          <w:sz w:val="22"/>
          <w:shd w:fill="auto" w:val="clear"/>
        </w:rPr>
      </w:pPr>
    </w:p>
    <w:p>
      <w:pPr>
        <w:spacing w:before="0" w:after="0" w:line="276"/>
        <w:ind w:right="0" w:left="0" w:firstLine="567"/>
        <w:jc w:val="both"/>
        <w:rPr>
          <w:rFonts w:ascii="Arial" w:hAnsi="Arial" w:cs="Arial" w:eastAsia="Arial"/>
          <w:b/>
          <w:color w:val="auto"/>
          <w:spacing w:val="0"/>
          <w:position w:val="0"/>
          <w:sz w:val="22"/>
          <w:shd w:fill="auto" w:val="clear"/>
        </w:rPr>
      </w:pPr>
    </w:p>
    <w:p>
      <w:pPr>
        <w:spacing w:before="0" w:after="0" w:line="276"/>
        <w:ind w:right="0" w:left="0" w:firstLine="567"/>
        <w:jc w:val="both"/>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Вопросы для самоконтроля</w:t>
      </w:r>
    </w:p>
    <w:p>
      <w:pPr>
        <w:numPr>
          <w:ilvl w:val="0"/>
          <w:numId w:val="2"/>
        </w:numPr>
        <w:spacing w:before="0" w:after="0" w:line="276"/>
        <w:ind w:right="0" w:left="927" w:hanging="36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Расскажите об истоках лесной типологии.</w:t>
      </w:r>
    </w:p>
    <w:p>
      <w:pPr>
        <w:spacing w:before="0" w:after="0" w:line="276"/>
        <w:ind w:right="0" w:left="0" w:firstLine="567"/>
        <w:jc w:val="both"/>
        <w:rPr>
          <w:rFonts w:ascii="Arial" w:hAnsi="Arial" w:cs="Arial" w:eastAsia="Arial"/>
          <w:color w:val="auto"/>
          <w:spacing w:val="0"/>
          <w:position w:val="0"/>
          <w:sz w:val="22"/>
          <w:shd w:fill="auto" w:val="clear"/>
        </w:rPr>
      </w:pPr>
    </w:p>
    <w:p>
      <w:pPr>
        <w:numPr>
          <w:ilvl w:val="0"/>
          <w:numId w:val="4"/>
        </w:numPr>
        <w:spacing w:before="0" w:after="0" w:line="276"/>
        <w:ind w:right="0" w:left="927" w:hanging="36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В чем состоят различия и сходства типологических классификаций В. Н. Сукачева и П. С. Погребняка?</w:t>
      </w:r>
    </w:p>
    <w:p>
      <w:pPr>
        <w:spacing w:before="0" w:after="0" w:line="276"/>
        <w:ind w:right="0" w:left="0" w:firstLine="567"/>
        <w:jc w:val="both"/>
        <w:rPr>
          <w:rFonts w:ascii="Arial" w:hAnsi="Arial" w:cs="Arial" w:eastAsia="Arial"/>
          <w:color w:val="auto"/>
          <w:spacing w:val="0"/>
          <w:position w:val="0"/>
          <w:sz w:val="22"/>
          <w:shd w:fill="auto" w:val="clear"/>
        </w:rPr>
      </w:pPr>
    </w:p>
    <w:p>
      <w:pPr>
        <w:numPr>
          <w:ilvl w:val="0"/>
          <w:numId w:val="6"/>
        </w:numPr>
        <w:spacing w:before="0" w:after="0" w:line="276"/>
        <w:ind w:right="0" w:left="927" w:hanging="36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Какие существуют связи типов вырубок с типами леса?</w:t>
      </w:r>
    </w:p>
    <w:p>
      <w:pPr>
        <w:spacing w:before="0" w:after="0" w:line="276"/>
        <w:ind w:right="0" w:left="0" w:firstLine="567"/>
        <w:jc w:val="both"/>
        <w:rPr>
          <w:rFonts w:ascii="Arial" w:hAnsi="Arial" w:cs="Arial" w:eastAsia="Arial"/>
          <w:color w:val="auto"/>
          <w:spacing w:val="0"/>
          <w:position w:val="0"/>
          <w:sz w:val="22"/>
          <w:shd w:fill="auto" w:val="clear"/>
        </w:rPr>
      </w:pPr>
    </w:p>
    <w:p>
      <w:pPr>
        <w:numPr>
          <w:ilvl w:val="0"/>
          <w:numId w:val="8"/>
        </w:numPr>
        <w:spacing w:before="0" w:after="0" w:line="276"/>
        <w:ind w:right="0" w:left="927" w:hanging="36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Расскажите о значении типологии в познании природы леса и ее использовании в практике.</w:t>
      </w:r>
    </w:p>
    <w:p>
      <w:pPr>
        <w:spacing w:before="0" w:after="0" w:line="276"/>
        <w:ind w:right="0" w:left="0" w:firstLine="567"/>
        <w:jc w:val="both"/>
        <w:rPr>
          <w:rFonts w:ascii="Arial" w:hAnsi="Arial" w:cs="Arial" w:eastAsia="Arial"/>
          <w:color w:val="auto"/>
          <w:spacing w:val="0"/>
          <w:position w:val="0"/>
          <w:sz w:val="22"/>
          <w:shd w:fill="auto" w:val="clear"/>
        </w:rPr>
      </w:pPr>
    </w:p>
    <w:p>
      <w:pPr>
        <w:numPr>
          <w:ilvl w:val="0"/>
          <w:numId w:val="10"/>
        </w:numPr>
        <w:spacing w:before="0" w:after="0" w:line="276"/>
        <w:ind w:right="0" w:left="927" w:hanging="36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Охарактеризуйте концепцию типологии А.Л. Бельгарда.</w:t>
      </w:r>
    </w:p>
    <w:p>
      <w:pPr>
        <w:spacing w:before="0" w:after="0" w:line="276"/>
        <w:ind w:right="0" w:left="0" w:firstLine="0"/>
        <w:jc w:val="both"/>
        <w:rPr>
          <w:rFonts w:ascii="Arial" w:hAnsi="Arial" w:cs="Arial" w:eastAsia="Arial"/>
          <w:color w:val="auto"/>
          <w:spacing w:val="0"/>
          <w:position w:val="0"/>
          <w:sz w:val="22"/>
          <w:shd w:fill="auto" w:val="clear"/>
        </w:rPr>
      </w:pPr>
    </w:p>
    <w:p>
      <w:pPr>
        <w:spacing w:before="0" w:after="0" w:line="276"/>
        <w:ind w:right="0" w:left="0" w:firstLine="0"/>
        <w:jc w:val="both"/>
        <w:rPr>
          <w:rFonts w:ascii="Arial" w:hAnsi="Arial" w:cs="Arial" w:eastAsia="Arial"/>
          <w:color w:val="auto"/>
          <w:spacing w:val="0"/>
          <w:position w:val="0"/>
          <w:sz w:val="22"/>
          <w:shd w:fill="auto" w:val="clear"/>
        </w:rPr>
      </w:pPr>
    </w:p>
    <w:p>
      <w:pPr>
        <w:spacing w:before="0" w:after="0" w:line="276"/>
        <w:ind w:right="0" w:left="0" w:firstLine="567"/>
        <w:jc w:val="both"/>
        <w:rPr>
          <w:rFonts w:ascii="Arial" w:hAnsi="Arial" w:cs="Arial" w:eastAsia="Arial"/>
          <w:color w:val="auto"/>
          <w:spacing w:val="0"/>
          <w:position w:val="0"/>
          <w:sz w:val="22"/>
          <w:shd w:fill="auto" w:val="clear"/>
        </w:rPr>
      </w:pPr>
    </w:p>
    <w:p>
      <w:pPr>
        <w:spacing w:before="0" w:after="0" w:line="276"/>
        <w:ind w:right="0" w:left="0" w:firstLine="567"/>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Д</w:t>
      </w:r>
      <w:r>
        <w:rPr>
          <w:rFonts w:ascii="Times New Roman" w:hAnsi="Times New Roman" w:cs="Times New Roman" w:eastAsia="Times New Roman"/>
          <w:b/>
          <w:color w:val="auto"/>
          <w:spacing w:val="0"/>
          <w:position w:val="0"/>
          <w:sz w:val="28"/>
          <w:shd w:fill="auto" w:val="clear"/>
        </w:rPr>
        <w:t xml:space="preserve">әріс 5. ОРМАН ТИПОЛОГИЯСЫНЫҢ НЕГІЗДЕРІ</w:t>
      </w:r>
    </w:p>
    <w:p>
      <w:pPr>
        <w:spacing w:before="0" w:after="0" w:line="276"/>
        <w:ind w:right="0" w:left="0" w:firstLine="567"/>
        <w:jc w:val="left"/>
        <w:rPr>
          <w:rFonts w:ascii="Times New Roman" w:hAnsi="Times New Roman" w:cs="Times New Roman" w:eastAsia="Times New Roman"/>
          <w:color w:val="auto"/>
          <w:spacing w:val="0"/>
          <w:position w:val="0"/>
          <w:sz w:val="28"/>
          <w:shd w:fill="auto" w:val="clear"/>
        </w:rPr>
      </w:pP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1. </w:t>
      </w:r>
      <w:r>
        <w:rPr>
          <w:rFonts w:ascii="Arial" w:hAnsi="Arial" w:cs="Arial" w:eastAsia="Arial"/>
          <w:color w:val="auto"/>
          <w:spacing w:val="0"/>
          <w:position w:val="0"/>
          <w:sz w:val="22"/>
          <w:shd w:fill="auto" w:val="clear"/>
        </w:rPr>
        <w:t xml:space="preserve">Орман типологиясыны</w:t>
      </w:r>
      <w:r>
        <w:rPr>
          <w:rFonts w:ascii="Arial" w:hAnsi="Arial" w:cs="Arial" w:eastAsia="Arial"/>
          <w:color w:val="auto"/>
          <w:spacing w:val="0"/>
          <w:position w:val="0"/>
          <w:sz w:val="22"/>
          <w:shd w:fill="auto" w:val="clear"/>
        </w:rPr>
        <w:t xml:space="preserve">ң бастаулары</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Орман типологиясы идеясы халық арасында пайда болды. А. Е. Теплоухов шаруалар ұсақ қабатты, шайырлы, күшті көктеректі брусняжная деп атағанын жазды, өйткені лингонберриге толы топырақ жақсы қасиеттерге ие ағашты көрсетеді. Рамен, согра, бор, лог, раза және т.б. сияқты танымал атаулар ағаштың өсу жағдайымен бірлігін көрсетеді және ормандардың типологиялық айырмашылықтарын анықтайды.</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18 ғасырда ағаш өсіруші А. А. Нартов алғаш рет ағаш өсуінің өсу жағдайымен байланысын атап өтті, ол оны құрғақ, ылғалды жерлерге және мүкжидек пен мүкпен қаннан тыс жерлерге бөлді.</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19 ғасырдың аяғында жаппай кесу көлемінің артуына байланысты орманды қалпына келтіру мәселесі күшейе түсті. В. Я. Добровлянский алдын-ала бөлінген "екпелердің түрлері" бойынша орманды қалпына келтіруді үйрену қажеттілігі туралы ой айтты, оның пікірінше, әртүрлілік сыртқы жағдайлармен (климат және топырақ-топырақ жағдайлары), екпенің өзі (құрамы, сүрекдіңнің тығыздығы және т.б.) және адамның әсерінен пайда болатын ішкі жағдайлармен анықталады.</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А. ф. Рудзкий екпелерді теңіз деңгейінен биіктігін, көлбеу экспедициясын, топырақты, ағаш түрінің экономикалық маңыздылығын, сүрекдіңнің тығыздығы мен жасын ескере отырып, аздаған "шартты монотондылықтарға" немесе "антивирустарға" бөлуді ұсынды. Ол еуропалық тайганың осындай 7 "антеатрларына" мысал келтірді, оның ішінде: 1).жаңа және терең топырақтағы Кондо немесе Бурабай қарағайы; 2). Мандовая қарағайы ылғалды топырақта; 3). Мшариндегі Батпақты қарағай; 4).Қылқан жапырақты жапырақты орман: қарағай, шырша, қайың, көктерек және т. б.</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И. И. Гуторович Вологда губерниясын орман орналастыру кезінде 4 факторды ескере отырып, 9 "екпелердің түрін" сипаттады: учаскенің топографиялық жағдайы, топырақ, екпелердің құрамы және жер жамылғысы. Олардың кейбіреулері қазіргі орман түрлеріне жақын: "рада" - сфагнум қарағайы, "суболот" - ледум қарағайы, "согра" - шөгінді-сфагнум қарағайы (шырша), " бил "- көкжидек қарағайына (шыршасына) жақын, " бор "- лингонберри қарағайына жақын, "тегістеу" - ұзақ мерзімді шахта, "төбе" - қышқыл шахта, "журнал" - шахта-журнал.</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19 ғасырдың аяғында орман типологиясы мен ботаника қызығушылық танытты. С. и. Коржинский әр учаскеде өзіне тән климаттық және топографиялық жағдайлармен өмір сүру үшін ұзақ күрестің нәтижесінде өсімдік түрлерінің белгілі бір жиынтығы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қауымдастық пайда болды деп сенді. Қауымдастықтар неғұрлым тұрақты "жатақханаларға"-өсімдік формациясына біріктірілді. Сондықтан Коржинский екпелердің түрлерін өсімдік түзілімдерінің түрлері ретінде қарастырды. Ол қауымдастықтың ішкі ортасын және оның дамуын анықтайтын эдификатор өсімдіктерінің рөлін ашты.</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2. Г. Ф. Морозовтың екпелер түрлері туралы ілімі</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Ормандарды екпелердің біртекті бірліктеріне (түрлеріне) бөлу қажеттілігін алғаш рет Г.Ф. Морозов ғылыми негіздеді. Ерте кезеңде типтерді белгілеу кезінде ол өсу жағдайларын, ал болашақта белгілердің тұтас жиынтығын ескерді:</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1). ағаш түрлерінің ішкі, экологиялық қасиеттері;</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2). географиялық орта-климат, топырақ, жер бедері, топырақ;</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3). биоәлеуметтік қатынастар:</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а) орман қауымдастығын құрайтын өсімдіктер арасында;</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б). олардың ортасы бар;</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в). олардың Фаунасы бар;</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4).тарихи-географиялық себептер;</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5). адамның араласуы.</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2. Г. Ф. Морозовтың екпелер түрлері туралы ілімі</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Ормандарды екпелердің біртекті бірліктеріне (түрлеріне) бөлу қажеттілігін алғаш рет Г.Ф. Морозов ғылыми негіздеді. Ерте кезеңде типтерді белгілеу кезінде ол өсу жағдайларын, ал болашақта белгілердің тұтас жиынтығын ескерді:</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1). ағаш түрлерінің ішкі, экологиялық қасиеттері;</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2). географиялық орта-климат, топырақ, жер бедері, топырақ;</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3). биоәлеуметтік қатынастар:</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а) орман қауымдастығын құрайтын өсімдіктер арасында;</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б). олардың ортасы бар;</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в). олардың Фаунасы бар;</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4).тарихи-географиялық себептер;</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5). адамның араласуы.</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1904 жылы Г. Ф. Морозов былай деп жазды: "отырғызу түрі-бұл жалпы өсу жағдайлары немесе топырақ-топырақ жағдайлары бойынша бір кең топқа біріктірілген екпелер жиынтығы. Ол екпелер түрлерінің толық классификациясын жасамады, бірақ Ресейдің жекелеген орман алқаптары үшін ол шошқалар мен емен ағаштарының орман-типологиялық сипаттамаларының мысалдарын келтірді. Орман түрлерінің идеясы Г. Ф. Морозова екі типологиялық бағыттың дамуына негіз болды.</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3.  П. С. Погребняктың өсу жағдайларының жіктелуі</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Г. Ф. Морозовтың бұрынғы жұмыстарына сүйене отырып, А.А. Крюденер рельефті, ылғалдылықты және механикалық құрамды ескере отырып, өсу жағдайларын жасады. Бұл бағыт ағымдағы ғасырдың 20-жылдарында Е.В. Алексеев, П. С. Погребняк, Д. В. Воробьевтің еңбектерінде одан әрі дамыды. Олар топырақтың құнарлылығы мен ылғалдылығын ескере отырып, жабылған және ормансыз жерлерге арналған орман өсіру жағдайларының түрін анықтады. П. С. Погребняк орманның барлық түрлерін эдафикалық торға орналастырды (5-сурет).</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П. с. Погребняк құрғақ жерлерде және ылғалды жерлерде орман түрлерін бір трофогендік қатарға біріктірді. Д.В. Воробьевпен бірге олар 5 трофотоп бөлді ( а - бора, в - субори, С - сугрудки , Д - груда, Е-дубрави), содан кейін 4 қалды. Қазіргі уақытта "дубрава" термині синонимдерді қолданады: рамени (шырша диапазонында); бучиндер (Бук диапазонында), ал "күрделі субори" термині үшін - сугрудки, сурамени, судубравалар, субучиндер.</w:t>
      </w:r>
    </w:p>
    <w:p>
      <w:pPr>
        <w:spacing w:before="0" w:after="0" w:line="276"/>
        <w:ind w:right="0" w:left="0" w:firstLine="710"/>
        <w:jc w:val="both"/>
        <w:rPr>
          <w:rFonts w:ascii="Calibri" w:hAnsi="Calibri" w:cs="Calibri" w:eastAsia="Calibri"/>
          <w:color w:val="auto"/>
          <w:spacing w:val="0"/>
          <w:position w:val="0"/>
          <w:sz w:val="22"/>
          <w:shd w:fill="auto" w:val="clear"/>
        </w:rPr>
      </w:pPr>
      <w:r>
        <w:object w:dxaOrig="10358" w:dyaOrig="13385">
          <v:rect xmlns:o="urn:schemas-microsoft-com:office:office" xmlns:v="urn:schemas-microsoft-com:vml" id="rectole0000000003" style="width:517.900000pt;height:669.25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5-сурет-П. С. Погребняк бойынша ормандардың Эдафикалық торы</w:t>
      </w:r>
    </w:p>
    <w:p>
      <w:pPr>
        <w:spacing w:before="0" w:after="0" w:line="276"/>
        <w:ind w:right="0" w:left="0" w:firstLine="710"/>
        <w:jc w:val="both"/>
        <w:rPr>
          <w:rFonts w:ascii="Arial" w:hAnsi="Arial" w:cs="Arial" w:eastAsia="Arial"/>
          <w:color w:val="auto"/>
          <w:spacing w:val="0"/>
          <w:position w:val="0"/>
          <w:sz w:val="22"/>
          <w:shd w:fill="auto" w:val="clear"/>
        </w:rPr>
      </w:pP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Топырақты тамырлы қанықпаған жоғарғы горизонттың гранулометриялық құрамы бойынша атай отырып, П. С. Погребняк құмды топырақтар бордан (а) емен (Д) дейін әр түрлі құнарлылықта болуы мүмкін екенін анықтады.</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Борға біртекті құмдар жатады, ешқандай қабаты жоқ, ч. 2,5-3 м. сирек ауыспалы жұқа (0,5-1 см) құмды-сазды қабаттар болған кезде терең құмдар қарапайым суборияларға жатады (В). Құм астындағы күрделі субори (С) &lt; 0,5 м тереңдікте бай топырақ түзетін жынысқа ие. Құмды шөгінділердің қуаты одан әрі төмендеген кезде (0,5 м және одан аз), астындағы саздақ ағаш тамырларымен қарқынды игерілгенде, топырақ құнарлылығы бойынша емен (Д) санатына өтеді.</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Бірақ бір трофотопта топырақ гранулометриялық құрамы бойынша біркелкі болмауы мүмкін, бірақ байлығы бойынша біркелкі болуы мүмкін.</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Борлар (а)-өте кедей топырақ-топырақ жағдайлары; қарапайым субори (В)- салыстырмалы түрде кедей; күрделі субори (С)- салыстырмалы түрде бай; емен ағаштары (Д) - ең құнарлы топырақ. Гидротопов П. С. Погребняк 6 бөлді.</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Көптеген орман өсіру аймақтары үшін жаңа өсу жағдайлары ең қолайлы болып табылады.</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Бір трофотоптың бір гигротоппен үйлесуі эдатопты береді.</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Бөлімшелерді ескере отырып, эдафиялық торға ормандардың барлық түрлері кіреді.</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Еліміздің орман шаруашылығы тәжірибесінде п. с. Погребняктың орман типологиялық классификациясын қолдану орман шаруашылығын жақсартуға, ормандардың табиғатын зерттеуге, орман жерлерін ұтымды пайдалануға және екпелердің өнімділігін арттыруға ықпал етті.</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4.  В. Н. Сукачев орман түрлерінің жіктелуі</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Екінші орман-типологиялық бағытты ұзақ уақыт В. Н. Сукачев басқарды. Ол орман түрлерін жіктеуге негіз болды өсімдіктер қауымдастығы, болашақта орманның барлық компоненттері және олардың өзара және орман өсіру жағдайларымен байланысы. Ол орман түрін белгілердің жиынтығымен анықтады, индикатор өсімдіктерімен, басым ағаш түрлерімен, жер жамылғысының басым түрімен атады және тек орманды алқаптарға арналған.</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Орман типі бойынша В. Н. Сукачев "ағаш түрлерінің құрамы бойынша, өсімдіктер мен фаунаның басқа деңгейлері бойынша, орман өсіру жағдайларының кешені бойынша (климаттық, топырақ, гидрологиялық), өсімдіктер мен орта арасындағы қатынастар, қалпына келтіру процестері және олардағы ауысым бағыты бойынша біртекті орман учаскелерін" түсінді, демек, бірдей экономикалық жағдайларда біртекті орман шаруашылығы іс-шараларын талап етеді".</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В. Н. Сукачев орманның барлық түрлерін экологиялық-фитоценотикалық қатарлар жүйесінде орналастырды:</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А қатары-топырақтың құнарлылығы мен ылғалдылығының төмендеуі;</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В - тоқырау ылғалдылығын арттыру; </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С-топырақ байлығын арттыру;</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D-ағынды ылғалдандыруды арттыру;</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Е - тоқырау ылғалдан ағынға ауысу.</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Ол қарағайларға, шыршаларға арналған экологиялық-фитоценотикалық қатарлар жүйесін және эдафо-фитоценотикалық диапазондардың жалпыланған схемасын ұсынды (кесте).</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В. Н.Сукачев пен П. С. Погребняктың типологиялық классификацияларының айырмашылықтары мен ұқсастықтары.</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Екі негізгі орман-типологиялық бағыттардың арасындағы айырмашылықтар негізінен "орман түрі"ұғымының әртүрлі көлемінде. Тіпті "ағаш типі" таксоны географиялық орта мен ағаш типінің ерекшеліктерін көрсетеді, ал В. Н.Сукачевтің пікірінше, орман типі орманның ағаш компоненттерінің ерекшеліктерімен және олардың арасындағы қатынастармен ерекшеленеді. В. Н. Сукачевтегі орман биогеоценоздарының қатарлары шектеулі емес, ал түрлерінің саны орман түзілу факторларының әсерінің әртүрлілігіне байланысты. Жертөледегі орман түрлерінің саны экономикалық қажеттілікпен анықталады.</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Орман шаруашылығы тәжірибесінде жекелеген іс-шараларды жүргізу кезінде топырақ-топырақ жағдайларының әртүрлілігі туралы мәліметтер болуы қажет. Сондықтан Сукачев технологиясымен қатар жертөленің жіктелуі қолданылады, яғни орман орналастыру жұмыстары кезінде орманды жер үсті таксациясы кезінде әр таксациялық бөлімде орман биогеоценозының ең көп таралған түрі және орман өсіру жағдайларының түрі көрсетіледі.</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В. Н. Сукачевтің типологиясы біздің еліміздің жазық Тайга тың ормандарын зерттеу негізінде жасалды. Негізгі объект оның барлық компоненттері бар орман болды.</w:t>
      </w:r>
    </w:p>
    <w:p>
      <w:pPr>
        <w:spacing w:before="0" w:after="0" w:line="276"/>
        <w:ind w:right="0" w:left="0" w:firstLine="710"/>
        <w:jc w:val="both"/>
        <w:rPr>
          <w:rFonts w:ascii="Calibri" w:hAnsi="Calibri" w:cs="Calibri" w:eastAsia="Calibri"/>
          <w:color w:val="auto"/>
          <w:spacing w:val="0"/>
          <w:position w:val="0"/>
          <w:sz w:val="22"/>
          <w:shd w:fill="auto" w:val="clear"/>
        </w:rPr>
      </w:pPr>
      <w:r>
        <w:object w:dxaOrig="8827" w:dyaOrig="4466">
          <v:rect xmlns:o="urn:schemas-microsoft-com:office:office" xmlns:v="urn:schemas-microsoft-com:vml" id="rectole0000000004" style="width:441.350000pt;height:223.30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p>
    <w:p>
      <w:pPr>
        <w:spacing w:before="0" w:after="0" w:line="276"/>
        <w:ind w:right="0" w:left="0" w:firstLine="71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6-</w:t>
      </w:r>
      <w:r>
        <w:rPr>
          <w:rFonts w:ascii="Calibri" w:hAnsi="Calibri" w:cs="Calibri" w:eastAsia="Calibri"/>
          <w:color w:val="auto"/>
          <w:spacing w:val="0"/>
          <w:position w:val="0"/>
          <w:sz w:val="22"/>
          <w:shd w:fill="auto" w:val="clear"/>
        </w:rPr>
        <w:t xml:space="preserve">сурет - </w:t>
      </w:r>
      <w:r>
        <w:rPr>
          <w:rFonts w:ascii="Calibri" w:hAnsi="Calibri" w:cs="Calibri" w:eastAsia="Calibri"/>
          <w:color w:val="auto"/>
          <w:spacing w:val="0"/>
          <w:position w:val="0"/>
          <w:sz w:val="22"/>
          <w:shd w:fill="auto" w:val="clear"/>
        </w:rPr>
        <w:t xml:space="preserve">қарағайлы ормандардың экологиялық-фитоценотикалық қатарларының сызбасы. Қарағайлар: 1 </w:t>
      </w:r>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кислора; 2 </w:t>
      </w:r>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лингонберри; 3 </w:t>
      </w:r>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қыналар; 4 </w:t>
      </w:r>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к</w:t>
      </w:r>
      <w:r>
        <w:rPr>
          <w:rFonts w:ascii="Calibri" w:hAnsi="Calibri" w:cs="Calibri" w:eastAsia="Calibri"/>
          <w:color w:val="auto"/>
          <w:spacing w:val="0"/>
          <w:position w:val="0"/>
          <w:sz w:val="22"/>
          <w:shd w:fill="auto" w:val="clear"/>
        </w:rPr>
        <w:t xml:space="preserve">өкжидек; 5 </w:t>
      </w:r>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ұзақ құрт; 6 </w:t>
      </w:r>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сфагнум; 7-сфагнум Батпа</w:t>
      </w:r>
      <w:r>
        <w:rPr>
          <w:rFonts w:ascii="Calibri" w:hAnsi="Calibri" w:cs="Calibri" w:eastAsia="Calibri"/>
          <w:color w:val="auto"/>
          <w:spacing w:val="0"/>
          <w:position w:val="0"/>
          <w:sz w:val="22"/>
          <w:shd w:fill="auto" w:val="clear"/>
        </w:rPr>
        <w:t xml:space="preserve">қ; 8 - шөп; 9 </w:t>
      </w:r>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Линден; 10 </w:t>
      </w:r>
      <w:r>
        <w:rPr>
          <w:rFonts w:ascii="Calibri" w:hAnsi="Calibri" w:cs="Calibri" w:eastAsia="Calibri"/>
          <w:color w:val="auto"/>
          <w:spacing w:val="0"/>
          <w:position w:val="0"/>
          <w:sz w:val="22"/>
          <w:shd w:fill="auto" w:val="clear"/>
        </w:rPr>
        <w:t xml:space="preserve">— </w:t>
      </w:r>
      <w:r>
        <w:rPr>
          <w:rFonts w:ascii="Calibri" w:hAnsi="Calibri" w:cs="Calibri" w:eastAsia="Calibri"/>
          <w:color w:val="auto"/>
          <w:spacing w:val="0"/>
          <w:position w:val="0"/>
          <w:sz w:val="22"/>
          <w:shd w:fill="auto" w:val="clear"/>
        </w:rPr>
        <w:t xml:space="preserve">Фундук; 11-емен.</w:t>
      </w:r>
    </w:p>
    <w:p>
      <w:pPr>
        <w:spacing w:before="0" w:after="0" w:line="276"/>
        <w:ind w:right="0" w:left="0" w:firstLine="710"/>
        <w:jc w:val="both"/>
        <w:rPr>
          <w:rFonts w:ascii="Calibri" w:hAnsi="Calibri" w:cs="Calibri" w:eastAsia="Calibri"/>
          <w:color w:val="auto"/>
          <w:spacing w:val="0"/>
          <w:position w:val="0"/>
          <w:sz w:val="22"/>
          <w:shd w:fill="auto" w:val="clear"/>
        </w:rPr>
      </w:pPr>
      <w:r>
        <w:object w:dxaOrig="8334" w:dyaOrig="4734">
          <v:rect xmlns:o="urn:schemas-microsoft-com:office:office" xmlns:v="urn:schemas-microsoft-com:vml" id="rectole0000000005" style="width:416.700000pt;height:236.70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p>
    <w:p>
      <w:pPr>
        <w:spacing w:before="0" w:after="0" w:line="276"/>
        <w:ind w:right="0" w:left="0" w:firstLine="710"/>
        <w:jc w:val="both"/>
        <w:rPr>
          <w:rFonts w:ascii="Calibri" w:hAnsi="Calibri" w:cs="Calibri" w:eastAsia="Calibri"/>
          <w:color w:val="auto"/>
          <w:spacing w:val="0"/>
          <w:position w:val="0"/>
          <w:sz w:val="22"/>
          <w:shd w:fill="auto" w:val="clear"/>
        </w:rPr>
      </w:pPr>
    </w:p>
    <w:p>
      <w:pPr>
        <w:spacing w:before="0" w:after="0" w:line="276"/>
        <w:ind w:right="0" w:left="0" w:firstLine="710"/>
        <w:jc w:val="both"/>
        <w:rPr>
          <w:rFonts w:ascii="Calibri" w:hAnsi="Calibri" w:cs="Calibri" w:eastAsia="Calibri"/>
          <w:color w:val="auto"/>
          <w:spacing w:val="0"/>
          <w:position w:val="0"/>
          <w:sz w:val="22"/>
          <w:shd w:fill="auto" w:val="clear"/>
        </w:rPr>
      </w:pP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7-сурет шырша ормандарының экологиялық-фитоценотикалық қатарларының сызбасы.</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Кеніштер: 1 - қышқыл; 2 - лингонберри; -3 - көкжидек; 4 - ұзақ қопсытқыш; 5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сфагнум; 6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сфагнум-сфагнум; 7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шымтезек-сфагнум; 8 - журнал; 9 - Линден. 10-бас.</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5.  А. л. бельгард дала ормандарыны</w:t>
      </w:r>
      <w:r>
        <w:rPr>
          <w:rFonts w:ascii="Arial" w:hAnsi="Arial" w:cs="Arial" w:eastAsia="Arial"/>
          <w:color w:val="auto"/>
          <w:spacing w:val="0"/>
          <w:position w:val="0"/>
          <w:sz w:val="22"/>
          <w:shd w:fill="auto" w:val="clear"/>
        </w:rPr>
        <w:t xml:space="preserve">ң типологиясы</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А. л. Бельгард типологиясы 1971 жылы Дала Табиғи және жасанды ормандары үшін жасалған.</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Табиғи ормандар тобын Жайылма, байра және Арена ормандары ұсынады. П. с. Погребняктың эдафиялық торын негізге ала отырып, ол трофикалық ординатаны минералдану ординатасымен алмастырды және келесі трофотоптарды бөліп алды:</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АВ-физикалық нашар топырақтар, көбінесе сазды құмдар;</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В-әдетте жеңіл құмды саздармен немесе сазды құмдармен байланысты салыстырмалы түрде нашар топырақ-топырақ жағдайлары;</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ӘК-салыстырмалы түрде кедей топырақ-топырақ жағдайлары;</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С-құмды сазды топырақтармен байланысты салыстырмалы түрде бай трофотоптар;</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D-саз немесе саздақ қабаттарымен қапталған құнарлы саздақтарға немесе құмды саздарға тартылатын ең бай тіршілік ету ортасы;</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DS-сілтілі топырақтарда кездеседі;</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Das-күрделі орман ценоздарының қалыптасуына ықпал ететін ең қолайлы орман жағдайларын сипаттайды;</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DP-белгілі карбонаттылығымен және ылғалды гигротиптермен ерекшеленетін топыраққа-нитрификация процестерінің дамуына тартылады;</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Де-ұзақ мекендейтін жерлерде қалыптасады</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ол кейбір тұздылығымен ерекшеленеді;</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жайылмаларда тұздану белгілерімен, ал шатқал-сәулелік жүйелер жағдайында карбонаттылықпен сипатталатын физиологиялық жағынан салыстырмалы түрде кедей топырақтарда пайда болатын орман түрлері.</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Сонымен қатар, Бұталы ценоздармен байланысты F және G трофотоптары да оқшауланған.</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Ылғалдандыру сипаты бойынша тоғыз гигротоп анықталды:</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0-өте құрғақ тіршілік ету ортасы;</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0-1-құрғақ;</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1-құрғақ;</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1-2-жаңа піскен;</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2-жаңа;</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2-3-дымқыл;</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3-дымқыл;</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4-шикі;</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5-дымқыл.</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Жайылмалы ормандар 2 топқа бөлінеді-ұзаққа созылатын және қысқа тұйықталған, оларға қатысты орман түрлері бөлінген.</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Дала аймағының жасанды ормандарының типологиясын а.л. Бельгард орналасу түрлерін ескере отырып салады (су тасқыны, Арена және плакор).</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Орналасу типі шегінде топырақ гранулометриялық құрамы бойынша: құмдар (П), құмды саздар (СП) және саздақтар (СГ) болып бөлінеді. Тұзды Топырақтардың өзіндік индексі бар (З). Топырақтың түрі (кіші түрі) ескеріледі (қарапайым черноземалар, Оңтүстік черноземалар, қара каштан топырақтары).</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Гигротоптар табиғи ормандар сияқты белгілермен ерекшеленеді (0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өте құрғақ; 0-1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құрғақ; 1 - құрғақ;1-2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жа</w:t>
      </w:r>
      <w:r>
        <w:rPr>
          <w:rFonts w:ascii="Arial" w:hAnsi="Arial" w:cs="Arial" w:eastAsia="Arial"/>
          <w:color w:val="auto"/>
          <w:spacing w:val="0"/>
          <w:position w:val="0"/>
          <w:sz w:val="22"/>
          <w:shd w:fill="auto" w:val="clear"/>
        </w:rPr>
        <w:t xml:space="preserve">ңа; 2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жа</w:t>
      </w:r>
      <w:r>
        <w:rPr>
          <w:rFonts w:ascii="Arial" w:hAnsi="Arial" w:cs="Arial" w:eastAsia="Arial"/>
          <w:color w:val="auto"/>
          <w:spacing w:val="0"/>
          <w:position w:val="0"/>
          <w:sz w:val="22"/>
          <w:shd w:fill="auto" w:val="clear"/>
        </w:rPr>
        <w:t xml:space="preserve">ңа; 3 - ылғалды; 4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шикі; 5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дым</w:t>
      </w:r>
      <w:r>
        <w:rPr>
          <w:rFonts w:ascii="Arial" w:hAnsi="Arial" w:cs="Arial" w:eastAsia="Arial"/>
          <w:color w:val="auto"/>
          <w:spacing w:val="0"/>
          <w:position w:val="0"/>
          <w:sz w:val="22"/>
          <w:shd w:fill="auto" w:val="clear"/>
        </w:rPr>
        <w:t xml:space="preserve">қыл.</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А. л. Бельгардтың типологиясы күрделі, көлемді, үлкен бөлшектермен ерекшеленеді, бірақ бұл орман өсіру жағдайларын толық бағалауға және өсіруге арналған тұқымдардың ассортиментін де, осы жағдайларға сәйкес келетін орман екпелерінің түрін де анықтауға мүмкіндік береді.</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6.  Шетелдегі орман типологиясының ерекшеліктері</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Әр түрлі елдердің ғалымдары отандық орман типологиясының жетістіктеріне қызығушылық танытады. Польша, Болгария, Швеция ағаш өсірушілері п.с. погребняктың эдафиялық торына ұқсас жіктеу принциптерін қолданады.</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50-60 жылдары қалыптасқан Е. Эйхингердің австриялық орман-типологиялық бағыты орман түрлерінің Тарихи бөлімшесін ұсынады: 1) Тау қарағайының қисық орманын ауыстырған шыршалар, 2) еуропалық балқарағай ормандарын ауыстырған Шыршалар, 3) балқарағай ормандарын ауыстырған шыршалар және т. б.</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Шетелдік әдебиеттерде тіршілік ету ортасы экожүйе ретінде қарастырылады. Тіршілік ету ортасының әр бірлігі топографияның, топырақтың, микроклиматтың, барлық деңгейлердің өсімдік құрамының ерекшеліктерімен сипатталады. Бір тіршілік ету ортасының мөлшері сүрекдіңнің өсу қарқынымен анықталады.</w:t>
      </w: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Тіршілік ету ортасының жіктелуі орман өсіру, Топырақтану және орманды қорғау бойынша зерттеулерде қолданылады.</w:t>
      </w:r>
    </w:p>
    <w:p>
      <w:pPr>
        <w:spacing w:before="0" w:after="0" w:line="276"/>
        <w:ind w:right="0" w:left="0" w:firstLine="710"/>
        <w:jc w:val="both"/>
        <w:rPr>
          <w:rFonts w:ascii="Arial" w:hAnsi="Arial" w:cs="Arial" w:eastAsia="Arial"/>
          <w:color w:val="auto"/>
          <w:spacing w:val="0"/>
          <w:position w:val="0"/>
          <w:sz w:val="22"/>
          <w:shd w:fill="auto" w:val="clear"/>
        </w:rPr>
      </w:pPr>
    </w:p>
    <w:p>
      <w:pPr>
        <w:spacing w:before="0" w:after="0" w:line="276"/>
        <w:ind w:right="0" w:left="0" w:firstLine="710"/>
        <w:jc w:val="both"/>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Өзін-өзі бақылауға арналған сұрақтар</w:t>
      </w:r>
    </w:p>
    <w:p>
      <w:pPr>
        <w:spacing w:before="0" w:after="0" w:line="276"/>
        <w:ind w:right="0" w:left="0" w:firstLine="710"/>
        <w:jc w:val="both"/>
        <w:rPr>
          <w:rFonts w:ascii="Arial" w:hAnsi="Arial" w:cs="Arial" w:eastAsia="Arial"/>
          <w:color w:val="auto"/>
          <w:spacing w:val="0"/>
          <w:position w:val="0"/>
          <w:sz w:val="22"/>
          <w:shd w:fill="auto" w:val="clear"/>
        </w:rPr>
      </w:pPr>
      <w:r>
        <w:rPr>
          <w:rFonts w:ascii="Cambria Math" w:hAnsi="Cambria Math" w:cs="Cambria Math" w:eastAsia="Cambria Math"/>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Орман типологиясыны</w:t>
      </w:r>
      <w:r>
        <w:rPr>
          <w:rFonts w:ascii="Arial" w:hAnsi="Arial" w:cs="Arial" w:eastAsia="Arial"/>
          <w:color w:val="auto"/>
          <w:spacing w:val="0"/>
          <w:position w:val="0"/>
          <w:sz w:val="22"/>
          <w:shd w:fill="auto" w:val="clear"/>
        </w:rPr>
        <w:t xml:space="preserve">ң бастаулары туралы айтыңыз.</w:t>
      </w:r>
    </w:p>
    <w:p>
      <w:pPr>
        <w:spacing w:before="0" w:after="0" w:line="276"/>
        <w:ind w:right="0" w:left="0" w:firstLine="710"/>
        <w:jc w:val="both"/>
        <w:rPr>
          <w:rFonts w:ascii="Arial" w:hAnsi="Arial" w:cs="Arial" w:eastAsia="Arial"/>
          <w:color w:val="auto"/>
          <w:spacing w:val="0"/>
          <w:position w:val="0"/>
          <w:sz w:val="22"/>
          <w:shd w:fill="auto" w:val="clear"/>
        </w:rPr>
      </w:pPr>
    </w:p>
    <w:p>
      <w:pPr>
        <w:spacing w:before="0" w:after="0" w:line="276"/>
        <w:ind w:right="0" w:left="0" w:firstLine="710"/>
        <w:jc w:val="both"/>
        <w:rPr>
          <w:rFonts w:ascii="Arial" w:hAnsi="Arial" w:cs="Arial" w:eastAsia="Arial"/>
          <w:color w:val="auto"/>
          <w:spacing w:val="0"/>
          <w:position w:val="0"/>
          <w:sz w:val="22"/>
          <w:shd w:fill="auto" w:val="clear"/>
        </w:rPr>
      </w:pPr>
      <w:r>
        <w:rPr>
          <w:rFonts w:ascii="Cambria Math" w:hAnsi="Cambria Math" w:cs="Cambria Math" w:eastAsia="Cambria Math"/>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В. Н. Сукачев пен П. С. Погребнякты</w:t>
      </w:r>
      <w:r>
        <w:rPr>
          <w:rFonts w:ascii="Arial" w:hAnsi="Arial" w:cs="Arial" w:eastAsia="Arial"/>
          <w:color w:val="auto"/>
          <w:spacing w:val="0"/>
          <w:position w:val="0"/>
          <w:sz w:val="22"/>
          <w:shd w:fill="auto" w:val="clear"/>
        </w:rPr>
        <w:t xml:space="preserve">ң типологиялық классификациясының айырмашылықтары мен ұқсастықтары қандай?</w:t>
      </w:r>
    </w:p>
    <w:p>
      <w:pPr>
        <w:spacing w:before="0" w:after="0" w:line="276"/>
        <w:ind w:right="0" w:left="0" w:firstLine="710"/>
        <w:jc w:val="both"/>
        <w:rPr>
          <w:rFonts w:ascii="Arial" w:hAnsi="Arial" w:cs="Arial" w:eastAsia="Arial"/>
          <w:color w:val="auto"/>
          <w:spacing w:val="0"/>
          <w:position w:val="0"/>
          <w:sz w:val="22"/>
          <w:shd w:fill="auto" w:val="clear"/>
        </w:rPr>
      </w:pPr>
    </w:p>
    <w:p>
      <w:pPr>
        <w:spacing w:before="0" w:after="0" w:line="276"/>
        <w:ind w:right="0" w:left="0" w:firstLine="710"/>
        <w:jc w:val="both"/>
        <w:rPr>
          <w:rFonts w:ascii="Arial" w:hAnsi="Arial" w:cs="Arial" w:eastAsia="Arial"/>
          <w:color w:val="auto"/>
          <w:spacing w:val="0"/>
          <w:position w:val="0"/>
          <w:sz w:val="22"/>
          <w:shd w:fill="auto" w:val="clear"/>
        </w:rPr>
      </w:pPr>
      <w:r>
        <w:rPr>
          <w:rFonts w:ascii="Cambria Math" w:hAnsi="Cambria Math" w:cs="Cambria Math" w:eastAsia="Cambria Math"/>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А</w:t>
      </w:r>
      <w:r>
        <w:rPr>
          <w:rFonts w:ascii="Arial" w:hAnsi="Arial" w:cs="Arial" w:eastAsia="Arial"/>
          <w:color w:val="auto"/>
          <w:spacing w:val="0"/>
          <w:position w:val="0"/>
          <w:sz w:val="22"/>
          <w:shd w:fill="auto" w:val="clear"/>
        </w:rPr>
        <w:t xml:space="preserve">ғаш кесу түрлерінің орман түрлерімен байланысы қандай?</w:t>
      </w:r>
    </w:p>
    <w:p>
      <w:pPr>
        <w:spacing w:before="0" w:after="0" w:line="276"/>
        <w:ind w:right="0" w:left="0" w:firstLine="710"/>
        <w:jc w:val="both"/>
        <w:rPr>
          <w:rFonts w:ascii="Arial" w:hAnsi="Arial" w:cs="Arial" w:eastAsia="Arial"/>
          <w:color w:val="auto"/>
          <w:spacing w:val="0"/>
          <w:position w:val="0"/>
          <w:sz w:val="22"/>
          <w:shd w:fill="auto" w:val="clear"/>
        </w:rPr>
      </w:pPr>
    </w:p>
    <w:p>
      <w:pPr>
        <w:spacing w:before="0" w:after="0" w:line="276"/>
        <w:ind w:right="0" w:left="0" w:firstLine="710"/>
        <w:jc w:val="both"/>
        <w:rPr>
          <w:rFonts w:ascii="Arial" w:hAnsi="Arial" w:cs="Arial" w:eastAsia="Arial"/>
          <w:color w:val="auto"/>
          <w:spacing w:val="0"/>
          <w:position w:val="0"/>
          <w:sz w:val="22"/>
          <w:shd w:fill="auto" w:val="clear"/>
        </w:rPr>
      </w:pPr>
      <w:r>
        <w:rPr>
          <w:rFonts w:ascii="Cambria Math" w:hAnsi="Cambria Math" w:cs="Cambria Math" w:eastAsia="Cambria Math"/>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Типологияны</w:t>
      </w:r>
      <w:r>
        <w:rPr>
          <w:rFonts w:ascii="Arial" w:hAnsi="Arial" w:cs="Arial" w:eastAsia="Arial"/>
          <w:color w:val="auto"/>
          <w:spacing w:val="0"/>
          <w:position w:val="0"/>
          <w:sz w:val="22"/>
          <w:shd w:fill="auto" w:val="clear"/>
        </w:rPr>
        <w:t xml:space="preserve">ң орман табиғатын білудегі маңызы және оны тәжірибеде қолдану туралы айтып беріңіз.</w:t>
      </w:r>
    </w:p>
    <w:p>
      <w:pPr>
        <w:spacing w:before="0" w:after="0" w:line="276"/>
        <w:ind w:right="0" w:left="0" w:firstLine="710"/>
        <w:jc w:val="both"/>
        <w:rPr>
          <w:rFonts w:ascii="Arial" w:hAnsi="Arial" w:cs="Arial" w:eastAsia="Arial"/>
          <w:color w:val="auto"/>
          <w:spacing w:val="0"/>
          <w:position w:val="0"/>
          <w:sz w:val="22"/>
          <w:shd w:fill="auto" w:val="clear"/>
        </w:rPr>
      </w:pPr>
    </w:p>
    <w:p>
      <w:pPr>
        <w:spacing w:before="0" w:after="0" w:line="276"/>
        <w:ind w:right="0" w:left="0" w:firstLine="710"/>
        <w:jc w:val="both"/>
        <w:rPr>
          <w:rFonts w:ascii="Arial" w:hAnsi="Arial" w:cs="Arial" w:eastAsia="Arial"/>
          <w:color w:val="auto"/>
          <w:spacing w:val="0"/>
          <w:position w:val="0"/>
          <w:sz w:val="22"/>
          <w:shd w:fill="auto" w:val="clear"/>
        </w:rPr>
      </w:pPr>
      <w:r>
        <w:rPr>
          <w:rFonts w:ascii="Cambria Math" w:hAnsi="Cambria Math" w:cs="Cambria Math" w:eastAsia="Cambria Math"/>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А.л. бельгард типологиясыны</w:t>
      </w:r>
      <w:r>
        <w:rPr>
          <w:rFonts w:ascii="Arial" w:hAnsi="Arial" w:cs="Arial" w:eastAsia="Arial"/>
          <w:color w:val="auto"/>
          <w:spacing w:val="0"/>
          <w:position w:val="0"/>
          <w:sz w:val="22"/>
          <w:shd w:fill="auto" w:val="clear"/>
        </w:rPr>
        <w:t xml:space="preserve">ң тұжырымдамасын сипаттаңыз.</w:t>
      </w:r>
    </w:p>
    <w:p>
      <w:pPr>
        <w:spacing w:before="0" w:after="0" w:line="276"/>
        <w:ind w:right="0" w:left="0" w:firstLine="710"/>
        <w:jc w:val="both"/>
        <w:rPr>
          <w:rFonts w:ascii="Arial" w:hAnsi="Arial" w:cs="Arial" w:eastAsia="Arial"/>
          <w:color w:val="auto"/>
          <w:spacing w:val="0"/>
          <w:position w:val="0"/>
          <w:sz w:val="22"/>
          <w:shd w:fill="auto" w:val="clear"/>
        </w:rPr>
      </w:pPr>
    </w:p>
    <w:p>
      <w:pPr>
        <w:spacing w:before="0" w:after="0" w:line="276"/>
        <w:ind w:right="0" w:left="0" w:firstLine="710"/>
        <w:jc w:val="both"/>
        <w:rPr>
          <w:rFonts w:ascii="Arial" w:hAnsi="Arial" w:cs="Arial" w:eastAsia="Arial"/>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num w:numId="2">
    <w:abstractNumId w:val="24"/>
  </w:num>
  <w:num w:numId="4">
    <w:abstractNumId w:val="18"/>
  </w:num>
  <w:num w:numId="6">
    <w:abstractNumId w:val="12"/>
  </w:num>
  <w:num w:numId="8">
    <w:abstractNumId w:val="6"/>
  </w:num>
  <w:num w:numId="10">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styles.xml" Id="docRId13" Type="http://schemas.openxmlformats.org/officeDocument/2006/relationships/styles" /><Relationship Target="media/image1.wmf" Id="docRId3" Type="http://schemas.openxmlformats.org/officeDocument/2006/relationships/image" /><Relationship Target="media/image3.wmf" Id="docRId7" Type="http://schemas.openxmlformats.org/officeDocument/2006/relationships/image" /><Relationship Target="embeddings/oleObject5.bin" Id="docRId10" Type="http://schemas.openxmlformats.org/officeDocument/2006/relationships/oleObject" /><Relationship Target="embeddings/oleObject1.bin" Id="docRId2" Type="http://schemas.openxmlformats.org/officeDocument/2006/relationships/oleObject" /><Relationship Target="embeddings/oleObject3.bin" Id="docRId6" Type="http://schemas.openxmlformats.org/officeDocument/2006/relationships/oleObject" /><Relationship Target="media/image0.wmf" Id="docRId1" Type="http://schemas.openxmlformats.org/officeDocument/2006/relationships/image" /><Relationship Target="media/image5.wmf" Id="docRId11" Type="http://schemas.openxmlformats.org/officeDocument/2006/relationships/image" /><Relationship Target="media/image2.wmf" Id="docRId5" Type="http://schemas.openxmlformats.org/officeDocument/2006/relationships/image" /><Relationship Target="media/image4.wmf" Id="docRId9" Type="http://schemas.openxmlformats.org/officeDocument/2006/relationships/image" /><Relationship Target="embeddings/oleObject0.bin" Id="docRId0" Type="http://schemas.openxmlformats.org/officeDocument/2006/relationships/oleObject" /><Relationship Target="numbering.xml" Id="docRId12" Type="http://schemas.openxmlformats.org/officeDocument/2006/relationships/numbering" /><Relationship Target="embeddings/oleObject2.bin" Id="docRId4" Type="http://schemas.openxmlformats.org/officeDocument/2006/relationships/oleObject" /><Relationship Target="embeddings/oleObject4.bin" Id="docRId8" Type="http://schemas.openxmlformats.org/officeDocument/2006/relationships/oleObject" /></Relationships>
</file>